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RAMAGANO CHERYL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UNIVERSAL CORPORATE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367 SOUTH GULPH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UNIVERSAL HEALTH REALTY INCOME TRUST</w:t>
              </w:r>
            </w:hyperlink>
            <w:r>
              <w:rPr/>
              <w:t xml:space="preserve"> [ </w:t>
            </w:r>
            <w:r>
              <w:rPr>
                <w:rFonts w:ascii="Times;serif" w:hAnsi="Times;serif"/>
                <w:color w:val="0000FF"/>
                <w:sz w:val="24"/>
                <w:shd w:fill="FFFFFF" w:val="clear"/>
              </w:rPr>
              <w:t>UHT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Operations and Treasurer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7"/>
        <w:gridCol w:w="905"/>
        <w:gridCol w:w="774"/>
        <w:gridCol w:w="601"/>
        <w:gridCol w:w="351"/>
        <w:gridCol w:w="896"/>
        <w:gridCol w:w="461"/>
        <w:gridCol w:w="623"/>
        <w:gridCol w:w="1174"/>
        <w:gridCol w:w="1006"/>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Of Beneficial Interest</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06/07/2023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2,682</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38,945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shares of beneficial interest were granted pursuant to the Amended and Restated Universal Health Realty Income Trust 2007 Restricted Stock Plan and shall vest on the second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F. Boyle, Attorney-in-Fact for Ms. Ramagano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0997" TargetMode="External"/><Relationship Id="rId4" Type="http://schemas.openxmlformats.org/officeDocument/2006/relationships/hyperlink" Target="http://www.sec.gov/cgi-bin/browse-edgar?action=getcompany&amp;CIK=00007987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3303</Characters>
  <CharactersWithSpaces>3846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